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2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276"/>
        <w:gridCol w:w="567"/>
        <w:gridCol w:w="283"/>
        <w:gridCol w:w="823"/>
        <w:gridCol w:w="284"/>
        <w:gridCol w:w="850"/>
        <w:gridCol w:w="1276"/>
      </w:tblGrid>
      <w:tr w:rsidR="00F55600" w:rsidTr="00E17736">
        <w:trPr>
          <w:trHeight w:hRule="exact" w:val="853"/>
        </w:trPr>
        <w:tc>
          <w:tcPr>
            <w:tcW w:w="8052" w:type="dxa"/>
            <w:gridSpan w:val="9"/>
            <w:vAlign w:val="center"/>
          </w:tcPr>
          <w:p w:rsidR="00F55600" w:rsidRDefault="00F55600" w:rsidP="001E581A">
            <w:pPr>
              <w:rPr>
                <w:sz w:val="16"/>
              </w:rPr>
            </w:pPr>
            <w:bookmarkStart w:id="0" w:name="_GoBack"/>
            <w:bookmarkEnd w:id="0"/>
          </w:p>
          <w:p w:rsidR="00F55600" w:rsidRDefault="00F55600" w:rsidP="001E581A">
            <w:pPr>
              <w:pStyle w:val="Fixtexte"/>
            </w:pPr>
          </w:p>
        </w:tc>
      </w:tr>
      <w:tr w:rsidR="00F55600" w:rsidTr="00E17736">
        <w:trPr>
          <w:trHeight w:hRule="exact" w:val="2978"/>
        </w:trPr>
        <w:tc>
          <w:tcPr>
            <w:tcW w:w="3969" w:type="dxa"/>
            <w:gridSpan w:val="3"/>
          </w:tcPr>
          <w:p w:rsidR="00B51473" w:rsidRDefault="00F55600" w:rsidP="00B51473">
            <w:pPr>
              <w:rPr>
                <w:noProof/>
                <w:sz w:val="20"/>
              </w:rPr>
            </w:pPr>
            <w:r w:rsidRPr="00FA289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A2896">
              <w:rPr>
                <w:sz w:val="20"/>
              </w:rPr>
              <w:instrText xml:space="preserve"> FORMTEXT </w:instrText>
            </w:r>
            <w:r w:rsidRPr="00FA2896">
              <w:rPr>
                <w:sz w:val="20"/>
              </w:rPr>
            </w:r>
            <w:r w:rsidRPr="00FA2896">
              <w:rPr>
                <w:sz w:val="20"/>
              </w:rPr>
              <w:fldChar w:fldCharType="separate"/>
            </w:r>
            <w:r w:rsidR="00B51473">
              <w:rPr>
                <w:noProof/>
                <w:sz w:val="20"/>
              </w:rPr>
              <w:t>Bundesministerium für Justiz</w:t>
            </w:r>
          </w:p>
          <w:p w:rsidR="00B51473" w:rsidRDefault="00B51473" w:rsidP="00B5147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Sektion III-Präsidialsektion</w:t>
            </w:r>
          </w:p>
          <w:p w:rsidR="00B51473" w:rsidRDefault="00B51473" w:rsidP="00B5147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Museumsstraße 7</w:t>
            </w:r>
          </w:p>
          <w:p w:rsidR="00F55600" w:rsidRPr="00FA2896" w:rsidRDefault="00B51473" w:rsidP="00B51473">
            <w:pPr>
              <w:rPr>
                <w:sz w:val="20"/>
              </w:rPr>
            </w:pPr>
            <w:r>
              <w:rPr>
                <w:noProof/>
                <w:sz w:val="20"/>
              </w:rPr>
              <w:t>1070 Wien</w:t>
            </w:r>
            <w:r w:rsidR="00F55600" w:rsidRPr="00FA2896">
              <w:rPr>
                <w:sz w:val="20"/>
              </w:rPr>
              <w:fldChar w:fldCharType="end"/>
            </w:r>
            <w:bookmarkEnd w:id="1"/>
          </w:p>
        </w:tc>
        <w:tc>
          <w:tcPr>
            <w:tcW w:w="4083" w:type="dxa"/>
            <w:gridSpan w:val="6"/>
          </w:tcPr>
          <w:p w:rsidR="00F55600" w:rsidRDefault="00F55600" w:rsidP="001E581A">
            <w:pPr>
              <w:pStyle w:val="1-Zeilig"/>
              <w:spacing w:line="280" w:lineRule="exact"/>
            </w:pPr>
          </w:p>
        </w:tc>
      </w:tr>
      <w:tr w:rsidR="00F55600" w:rsidTr="001D4DC6">
        <w:tc>
          <w:tcPr>
            <w:tcW w:w="1134" w:type="dxa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  <w:tc>
          <w:tcPr>
            <w:tcW w:w="1106" w:type="dxa"/>
            <w:gridSpan w:val="2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F55600" w:rsidRDefault="00F55600" w:rsidP="001E581A">
            <w:pPr>
              <w:spacing w:line="360" w:lineRule="auto"/>
              <w:rPr>
                <w:sz w:val="18"/>
              </w:rPr>
            </w:pPr>
          </w:p>
        </w:tc>
      </w:tr>
      <w:tr w:rsidR="00F55600" w:rsidTr="00EE7BEC">
        <w:trPr>
          <w:trHeight w:hRule="exact" w:val="260"/>
        </w:trPr>
        <w:tc>
          <w:tcPr>
            <w:tcW w:w="1134" w:type="dxa"/>
          </w:tcPr>
          <w:p w:rsidR="00F55600" w:rsidRDefault="00F55600" w:rsidP="001E581A">
            <w:pPr>
              <w:pStyle w:val="Fixtexte"/>
            </w:pPr>
            <w:r>
              <w:t>Ihr Zeichen</w:t>
            </w:r>
          </w:p>
        </w:tc>
        <w:tc>
          <w:tcPr>
            <w:tcW w:w="1559" w:type="dxa"/>
          </w:tcPr>
          <w:p w:rsidR="00F55600" w:rsidRDefault="00F55600" w:rsidP="001E581A">
            <w:pPr>
              <w:pStyle w:val="Fixtexte"/>
            </w:pPr>
            <w:r>
              <w:t>Unser Zeichen</w:t>
            </w:r>
          </w:p>
        </w:tc>
        <w:tc>
          <w:tcPr>
            <w:tcW w:w="1843" w:type="dxa"/>
            <w:gridSpan w:val="2"/>
          </w:tcPr>
          <w:p w:rsidR="00F55600" w:rsidRDefault="00F55600" w:rsidP="001E581A">
            <w:pPr>
              <w:pStyle w:val="Fixtexte"/>
              <w:tabs>
                <w:tab w:val="left" w:pos="1701"/>
              </w:tabs>
            </w:pPr>
            <w:r>
              <w:t>Bearbeiter/in</w:t>
            </w:r>
          </w:p>
        </w:tc>
        <w:tc>
          <w:tcPr>
            <w:tcW w:w="283" w:type="dxa"/>
          </w:tcPr>
          <w:p w:rsidR="00F55600" w:rsidRDefault="00F55600" w:rsidP="001E581A">
            <w:pPr>
              <w:pStyle w:val="Fixtexte"/>
              <w:tabs>
                <w:tab w:val="left" w:pos="425"/>
              </w:tabs>
            </w:pPr>
            <w:r>
              <w:t>Tel</w:t>
            </w:r>
          </w:p>
        </w:tc>
        <w:tc>
          <w:tcPr>
            <w:tcW w:w="823" w:type="dxa"/>
            <w:tcBorders>
              <w:left w:val="nil"/>
            </w:tcBorders>
          </w:tcPr>
          <w:p w:rsidR="00F55600" w:rsidRDefault="00F55600" w:rsidP="001E581A">
            <w:pPr>
              <w:pStyle w:val="Fixtexte"/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1 65"/>
                    <w:maxLength w:val="6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501 65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</w:tcPr>
          <w:p w:rsidR="00F55600" w:rsidRDefault="00F55600" w:rsidP="001E581A">
            <w:pPr>
              <w:pStyle w:val="Fixtexte"/>
            </w:pPr>
            <w:r>
              <w:t xml:space="preserve">Fax </w:t>
            </w:r>
          </w:p>
        </w:tc>
        <w:tc>
          <w:tcPr>
            <w:tcW w:w="850" w:type="dxa"/>
          </w:tcPr>
          <w:p w:rsidR="00F55600" w:rsidRDefault="00F55600" w:rsidP="001E581A">
            <w:pPr>
              <w:pStyle w:val="Fixtexte"/>
            </w:pPr>
            <w:r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1 65"/>
                    <w:maxLength w:val="6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501 65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F55600" w:rsidRDefault="00F55600" w:rsidP="001E581A">
            <w:pPr>
              <w:pStyle w:val="Fixtexte"/>
            </w:pPr>
            <w:r>
              <w:t>Datum</w:t>
            </w:r>
          </w:p>
        </w:tc>
      </w:tr>
      <w:tr w:rsidR="00F55600" w:rsidTr="001D4DC6">
        <w:tc>
          <w:tcPr>
            <w:tcW w:w="1134" w:type="dxa"/>
          </w:tcPr>
          <w:p w:rsidR="00F55600" w:rsidRPr="002609F6" w:rsidRDefault="00F55600" w:rsidP="00692FFF">
            <w:pPr>
              <w:pStyle w:val="Linksbndig"/>
              <w:spacing w:line="360" w:lineRule="auto"/>
              <w:rPr>
                <w:sz w:val="16"/>
                <w:szCs w:val="16"/>
              </w:rPr>
            </w:pPr>
            <w:r w:rsidRPr="002609F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5"/>
            <w:r w:rsidRPr="002609F6">
              <w:rPr>
                <w:sz w:val="16"/>
                <w:szCs w:val="16"/>
              </w:rPr>
              <w:instrText xml:space="preserve"> FORMTEXT </w:instrText>
            </w:r>
            <w:r w:rsidRPr="002609F6">
              <w:rPr>
                <w:sz w:val="16"/>
                <w:szCs w:val="16"/>
              </w:rPr>
            </w:r>
            <w:r w:rsidRPr="002609F6">
              <w:rPr>
                <w:sz w:val="16"/>
                <w:szCs w:val="16"/>
              </w:rPr>
              <w:fldChar w:fldCharType="separate"/>
            </w:r>
            <w:r w:rsidR="00692FFF">
              <w:rPr>
                <w:sz w:val="16"/>
                <w:szCs w:val="16"/>
              </w:rPr>
              <w:t>BMJ 2.020-0.176.056</w:t>
            </w:r>
            <w:r w:rsidRPr="002609F6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59" w:type="dxa"/>
          </w:tcPr>
          <w:p w:rsidR="00692FFF" w:rsidRDefault="00F55600" w:rsidP="00B51473">
            <w:pPr>
              <w:pStyle w:val="Linksbndig"/>
              <w:spacing w:line="360" w:lineRule="auto"/>
              <w:rPr>
                <w:sz w:val="16"/>
                <w:szCs w:val="16"/>
              </w:rPr>
            </w:pPr>
            <w:r w:rsidRPr="002609F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6"/>
            <w:r w:rsidRPr="002609F6">
              <w:rPr>
                <w:sz w:val="16"/>
                <w:szCs w:val="16"/>
              </w:rPr>
              <w:instrText xml:space="preserve"> FORMTEXT </w:instrText>
            </w:r>
            <w:r w:rsidRPr="002609F6">
              <w:rPr>
                <w:sz w:val="16"/>
                <w:szCs w:val="16"/>
              </w:rPr>
            </w:r>
            <w:r w:rsidRPr="002609F6">
              <w:rPr>
                <w:sz w:val="16"/>
                <w:szCs w:val="16"/>
              </w:rPr>
              <w:fldChar w:fldCharType="separate"/>
            </w:r>
            <w:r w:rsidR="00B51473">
              <w:rPr>
                <w:sz w:val="16"/>
                <w:szCs w:val="16"/>
              </w:rPr>
              <w:t>BAK/KS-</w:t>
            </w:r>
          </w:p>
          <w:p w:rsidR="00F55600" w:rsidRPr="002609F6" w:rsidRDefault="00B51473" w:rsidP="00B51473">
            <w:pPr>
              <w:pStyle w:val="Linksbndig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GSt/BR/</w:t>
            </w:r>
            <w:r w:rsidR="00F55600" w:rsidRPr="002609F6">
              <w:rPr>
                <w:sz w:val="16"/>
                <w:szCs w:val="16"/>
              </w:rPr>
              <w:fldChar w:fldCharType="end"/>
            </w:r>
            <w:bookmarkEnd w:id="3"/>
            <w:r w:rsidR="00692FFF">
              <w:rPr>
                <w:sz w:val="16"/>
                <w:szCs w:val="16"/>
              </w:rPr>
              <w:t>BE</w:t>
            </w:r>
          </w:p>
        </w:tc>
        <w:tc>
          <w:tcPr>
            <w:tcW w:w="1843" w:type="dxa"/>
            <w:gridSpan w:val="2"/>
          </w:tcPr>
          <w:p w:rsidR="00F55600" w:rsidRPr="00FA2896" w:rsidRDefault="00F55600" w:rsidP="00B51473">
            <w:pPr>
              <w:pStyle w:val="Linksbndig"/>
              <w:spacing w:line="360" w:lineRule="auto"/>
              <w:rPr>
                <w:sz w:val="20"/>
              </w:rPr>
            </w:pPr>
            <w:r w:rsidRPr="00FA289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7"/>
            <w:r w:rsidRPr="00FA2896">
              <w:rPr>
                <w:sz w:val="20"/>
              </w:rPr>
              <w:instrText xml:space="preserve"> FORMTEXT </w:instrText>
            </w:r>
            <w:r w:rsidRPr="00FA2896">
              <w:rPr>
                <w:sz w:val="20"/>
              </w:rPr>
            </w:r>
            <w:r w:rsidRPr="00FA2896">
              <w:rPr>
                <w:sz w:val="20"/>
              </w:rPr>
              <w:fldChar w:fldCharType="separate"/>
            </w:r>
            <w:r w:rsidR="00B51473">
              <w:rPr>
                <w:sz w:val="20"/>
              </w:rPr>
              <w:t>Mag Benedikta Rupprecht</w:t>
            </w:r>
            <w:r w:rsidRPr="00FA2896">
              <w:rPr>
                <w:sz w:val="20"/>
              </w:rPr>
              <w:fldChar w:fldCharType="end"/>
            </w:r>
            <w:bookmarkEnd w:id="4"/>
          </w:p>
        </w:tc>
        <w:tc>
          <w:tcPr>
            <w:tcW w:w="1106" w:type="dxa"/>
            <w:gridSpan w:val="2"/>
          </w:tcPr>
          <w:p w:rsidR="00F55600" w:rsidRPr="00FA2896" w:rsidRDefault="00F55600" w:rsidP="009E03CA">
            <w:pPr>
              <w:tabs>
                <w:tab w:val="left" w:pos="425"/>
              </w:tabs>
              <w:spacing w:line="360" w:lineRule="auto"/>
              <w:rPr>
                <w:sz w:val="20"/>
              </w:rPr>
            </w:pPr>
            <w:r w:rsidRPr="00FA2896">
              <w:rPr>
                <w:sz w:val="20"/>
              </w:rPr>
              <w:t>DW</w:t>
            </w:r>
            <w:r w:rsidRPr="00FA2896">
              <w:rPr>
                <w:sz w:val="20"/>
              </w:rPr>
              <w:tab/>
            </w:r>
            <w:r w:rsidR="004934AA" w:rsidRPr="00FA289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4934AA" w:rsidRPr="00FA2896">
              <w:rPr>
                <w:sz w:val="20"/>
              </w:rPr>
              <w:instrText xml:space="preserve"> FORMTEXT </w:instrText>
            </w:r>
            <w:r w:rsidR="004934AA" w:rsidRPr="00FA2896">
              <w:rPr>
                <w:sz w:val="20"/>
              </w:rPr>
            </w:r>
            <w:r w:rsidR="004934AA" w:rsidRPr="00FA2896">
              <w:rPr>
                <w:sz w:val="20"/>
              </w:rPr>
              <w:fldChar w:fldCharType="separate"/>
            </w:r>
            <w:r w:rsidR="009E03CA">
              <w:rPr>
                <w:sz w:val="20"/>
              </w:rPr>
              <w:t>12694</w:t>
            </w:r>
            <w:r w:rsidR="004934AA" w:rsidRPr="00FA2896"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5600" w:rsidRPr="00FA2896" w:rsidRDefault="00F55600" w:rsidP="009E03CA">
            <w:pPr>
              <w:spacing w:line="360" w:lineRule="auto"/>
              <w:rPr>
                <w:sz w:val="20"/>
              </w:rPr>
            </w:pPr>
            <w:r w:rsidRPr="00FA2896">
              <w:rPr>
                <w:sz w:val="20"/>
              </w:rPr>
              <w:t xml:space="preserve">DW </w:t>
            </w:r>
            <w:r w:rsidR="004934AA" w:rsidRPr="00FA289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934AA" w:rsidRPr="00FA2896">
              <w:rPr>
                <w:sz w:val="20"/>
              </w:rPr>
              <w:instrText xml:space="preserve"> FORMTEXT </w:instrText>
            </w:r>
            <w:r w:rsidR="004934AA" w:rsidRPr="00FA2896">
              <w:rPr>
                <w:sz w:val="20"/>
              </w:rPr>
            </w:r>
            <w:r w:rsidR="004934AA" w:rsidRPr="00FA2896">
              <w:rPr>
                <w:sz w:val="20"/>
              </w:rPr>
              <w:fldChar w:fldCharType="separate"/>
            </w:r>
            <w:r w:rsidR="009E03CA">
              <w:rPr>
                <w:sz w:val="20"/>
              </w:rPr>
              <w:t>12693</w:t>
            </w:r>
            <w:r w:rsidR="004934AA" w:rsidRPr="00FA2896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F55600" w:rsidRPr="00FA2896" w:rsidRDefault="00F55600" w:rsidP="009E03CA">
            <w:pPr>
              <w:spacing w:line="360" w:lineRule="auto"/>
              <w:rPr>
                <w:sz w:val="20"/>
              </w:rPr>
            </w:pPr>
            <w:r w:rsidRPr="00FA289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8"/>
            <w:r w:rsidRPr="00FA2896">
              <w:rPr>
                <w:sz w:val="20"/>
              </w:rPr>
              <w:instrText xml:space="preserve"> FORMTEXT </w:instrText>
            </w:r>
            <w:r w:rsidRPr="00FA2896">
              <w:rPr>
                <w:sz w:val="20"/>
              </w:rPr>
            </w:r>
            <w:r w:rsidRPr="00FA2896">
              <w:rPr>
                <w:sz w:val="20"/>
              </w:rPr>
              <w:fldChar w:fldCharType="separate"/>
            </w:r>
            <w:r w:rsidR="009E03CA">
              <w:rPr>
                <w:noProof/>
                <w:sz w:val="20"/>
              </w:rPr>
              <w:t>25.09.2020</w:t>
            </w:r>
            <w:r w:rsidRPr="00FA2896">
              <w:rPr>
                <w:sz w:val="20"/>
              </w:rPr>
              <w:fldChar w:fldCharType="end"/>
            </w:r>
            <w:bookmarkEnd w:id="5"/>
          </w:p>
        </w:tc>
      </w:tr>
      <w:tr w:rsidR="00F55600" w:rsidTr="001D4DC6">
        <w:trPr>
          <w:trHeight w:val="539"/>
        </w:trPr>
        <w:tc>
          <w:tcPr>
            <w:tcW w:w="1134" w:type="dxa"/>
          </w:tcPr>
          <w:p w:rsidR="00F55600" w:rsidRDefault="00F55600" w:rsidP="001E581A">
            <w:pPr>
              <w:pStyle w:val="Fixtexte"/>
            </w:pPr>
          </w:p>
        </w:tc>
        <w:tc>
          <w:tcPr>
            <w:tcW w:w="1559" w:type="dxa"/>
          </w:tcPr>
          <w:p w:rsidR="00F55600" w:rsidRDefault="00F55600" w:rsidP="001E581A"/>
        </w:tc>
        <w:tc>
          <w:tcPr>
            <w:tcW w:w="1843" w:type="dxa"/>
            <w:gridSpan w:val="2"/>
          </w:tcPr>
          <w:p w:rsidR="00F55600" w:rsidRDefault="00F55600" w:rsidP="001E581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106" w:type="dxa"/>
            <w:gridSpan w:val="2"/>
          </w:tcPr>
          <w:p w:rsidR="00F55600" w:rsidRDefault="00F55600" w:rsidP="001E581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134" w:type="dxa"/>
            <w:gridSpan w:val="2"/>
          </w:tcPr>
          <w:p w:rsidR="00F55600" w:rsidRDefault="00F55600" w:rsidP="001E581A"/>
        </w:tc>
        <w:tc>
          <w:tcPr>
            <w:tcW w:w="1276" w:type="dxa"/>
          </w:tcPr>
          <w:p w:rsidR="00F55600" w:rsidRDefault="00F55600" w:rsidP="001E581A"/>
        </w:tc>
      </w:tr>
    </w:tbl>
    <w:p w:rsidR="001E581A" w:rsidRDefault="001E581A">
      <w:pPr>
        <w:sectPr w:rsidR="001E581A">
          <w:headerReference w:type="first" r:id="rId9"/>
          <w:pgSz w:w="11907" w:h="16840" w:code="9"/>
          <w:pgMar w:top="1871" w:right="851" w:bottom="1134" w:left="1418" w:header="1418" w:footer="720" w:gutter="0"/>
          <w:cols w:space="720"/>
          <w:noEndnote/>
          <w:titlePg/>
        </w:sectPr>
      </w:pPr>
    </w:p>
    <w:p w:rsidR="008B18AE" w:rsidRDefault="008B18AE" w:rsidP="008B18AE">
      <w:pPr>
        <w:pStyle w:val="Betreff"/>
      </w:pPr>
    </w:p>
    <w:p w:rsidR="00F77659" w:rsidRPr="00F77659" w:rsidRDefault="001B5368" w:rsidP="00F77659">
      <w:pPr>
        <w:rPr>
          <w:sz w:val="24"/>
          <w:szCs w:val="24"/>
        </w:rPr>
      </w:pPr>
      <w:r>
        <w:rPr>
          <w:sz w:val="24"/>
          <w:szCs w:val="24"/>
        </w:rPr>
        <w:t>Bundesgesetz, mit dem das Verbraucherkreditgesetz und das Hypothekar- und Immobilienkreditgesetz geändert werden</w:t>
      </w:r>
    </w:p>
    <w:p w:rsidR="00F77659" w:rsidRPr="00E51297" w:rsidRDefault="00E67908" w:rsidP="00E67908">
      <w:pPr>
        <w:jc w:val="right"/>
        <w:rPr>
          <w:sz w:val="20"/>
        </w:rPr>
      </w:pPr>
      <w:r>
        <w:rPr>
          <w:sz w:val="20"/>
        </w:rPr>
        <w:t xml:space="preserve">  </w:t>
      </w:r>
    </w:p>
    <w:p w:rsidR="00F77659" w:rsidRPr="00E51297" w:rsidRDefault="00F77659" w:rsidP="00F77659">
      <w:pPr>
        <w:rPr>
          <w:sz w:val="20"/>
        </w:rPr>
      </w:pPr>
    </w:p>
    <w:p w:rsidR="00F77659" w:rsidRPr="00E51297" w:rsidRDefault="00F77659" w:rsidP="00F77659">
      <w:pPr>
        <w:rPr>
          <w:sz w:val="20"/>
        </w:rPr>
      </w:pPr>
      <w:r w:rsidRPr="00E51297">
        <w:rPr>
          <w:sz w:val="20"/>
        </w:rPr>
        <w:t>Die Bundesarbeitskammer</w:t>
      </w:r>
      <w:r w:rsidR="00E31CA2" w:rsidRPr="00E51297">
        <w:rPr>
          <w:sz w:val="20"/>
        </w:rPr>
        <w:t xml:space="preserve"> (BAK)</w:t>
      </w:r>
      <w:r w:rsidRPr="00E51297">
        <w:rPr>
          <w:sz w:val="20"/>
        </w:rPr>
        <w:t xml:space="preserve"> bedankt sich für die </w:t>
      </w:r>
      <w:r w:rsidR="00E31CA2" w:rsidRPr="00E51297">
        <w:rPr>
          <w:sz w:val="20"/>
        </w:rPr>
        <w:t>Übermittlung des Entwurfs</w:t>
      </w:r>
      <w:r w:rsidRPr="00E51297">
        <w:rPr>
          <w:sz w:val="20"/>
        </w:rPr>
        <w:t xml:space="preserve"> und nimmt dazu wie folgt Stellung.</w:t>
      </w:r>
    </w:p>
    <w:p w:rsidR="00F77659" w:rsidRDefault="00F77659" w:rsidP="00F77659">
      <w:pPr>
        <w:rPr>
          <w:sz w:val="20"/>
        </w:rPr>
      </w:pPr>
    </w:p>
    <w:p w:rsidR="00761723" w:rsidRPr="004738AA" w:rsidRDefault="00761723" w:rsidP="00F77659">
      <w:pPr>
        <w:rPr>
          <w:b/>
          <w:sz w:val="20"/>
        </w:rPr>
      </w:pPr>
      <w:r w:rsidRPr="004738AA">
        <w:rPr>
          <w:b/>
          <w:sz w:val="20"/>
        </w:rPr>
        <w:t>Allgemeine Einschätzung</w:t>
      </w:r>
    </w:p>
    <w:p w:rsidR="00761723" w:rsidRPr="00E51297" w:rsidRDefault="00761723" w:rsidP="00F77659">
      <w:pPr>
        <w:rPr>
          <w:sz w:val="20"/>
        </w:rPr>
      </w:pPr>
    </w:p>
    <w:p w:rsidR="008B625F" w:rsidRDefault="001B5368" w:rsidP="00F77659">
      <w:pPr>
        <w:rPr>
          <w:sz w:val="20"/>
        </w:rPr>
      </w:pPr>
      <w:r>
        <w:rPr>
          <w:sz w:val="20"/>
        </w:rPr>
        <w:t xml:space="preserve">Anlass für den Gesetzesentwurf ist die </w:t>
      </w:r>
      <w:r w:rsidRPr="00DA1A20">
        <w:rPr>
          <w:b/>
          <w:sz w:val="20"/>
        </w:rPr>
        <w:t xml:space="preserve">Entscheidung des </w:t>
      </w:r>
      <w:r w:rsidR="00104C70" w:rsidRPr="00DA1A20">
        <w:rPr>
          <w:b/>
          <w:sz w:val="20"/>
        </w:rPr>
        <w:t>Europäischen Gerichtshofes</w:t>
      </w:r>
      <w:r w:rsidR="00104C70">
        <w:rPr>
          <w:sz w:val="20"/>
        </w:rPr>
        <w:t xml:space="preserve"> (</w:t>
      </w:r>
      <w:r>
        <w:rPr>
          <w:sz w:val="20"/>
        </w:rPr>
        <w:t>EuGH</w:t>
      </w:r>
      <w:r w:rsidR="00104C70">
        <w:rPr>
          <w:sz w:val="20"/>
        </w:rPr>
        <w:t>)</w:t>
      </w:r>
      <w:r>
        <w:rPr>
          <w:sz w:val="20"/>
        </w:rPr>
        <w:t xml:space="preserve"> vom 11. September 2019 (</w:t>
      </w:r>
      <w:r w:rsidR="00104C70">
        <w:rPr>
          <w:sz w:val="20"/>
        </w:rPr>
        <w:t>C-383/18 -</w:t>
      </w:r>
      <w:r>
        <w:rPr>
          <w:sz w:val="20"/>
        </w:rPr>
        <w:t xml:space="preserve"> „Lexitor“), in der</w:t>
      </w:r>
      <w:r w:rsidR="00AA4886">
        <w:rPr>
          <w:sz w:val="20"/>
        </w:rPr>
        <w:t xml:space="preserve"> er</w:t>
      </w:r>
      <w:r>
        <w:rPr>
          <w:sz w:val="20"/>
        </w:rPr>
        <w:t xml:space="preserve"> entschieden hat, dass </w:t>
      </w:r>
      <w:r w:rsidRPr="009866FE">
        <w:rPr>
          <w:sz w:val="20"/>
        </w:rPr>
        <w:t xml:space="preserve">bei einer </w:t>
      </w:r>
      <w:r w:rsidRPr="00DA1A20">
        <w:rPr>
          <w:b/>
          <w:sz w:val="20"/>
        </w:rPr>
        <w:t>vorzeitigen Rückzahlung von Krediten</w:t>
      </w:r>
      <w:r>
        <w:rPr>
          <w:sz w:val="20"/>
        </w:rPr>
        <w:t xml:space="preserve">, die der Verbraucherkredit-Richtlinie </w:t>
      </w:r>
      <w:r w:rsidR="00104C70">
        <w:rPr>
          <w:sz w:val="20"/>
        </w:rPr>
        <w:t xml:space="preserve">(VKrRL) </w:t>
      </w:r>
      <w:r>
        <w:rPr>
          <w:sz w:val="20"/>
        </w:rPr>
        <w:t xml:space="preserve">unterliegen, die </w:t>
      </w:r>
      <w:r w:rsidR="00AB6F56" w:rsidRPr="009866FE">
        <w:rPr>
          <w:b/>
          <w:sz w:val="20"/>
        </w:rPr>
        <w:t>Gesamtkosten des Kredits zu ermäßigen sind und nicht nur die lau</w:t>
      </w:r>
      <w:r w:rsidR="00AB6F56" w:rsidRPr="009866FE">
        <w:rPr>
          <w:b/>
          <w:sz w:val="20"/>
        </w:rPr>
        <w:t>f</w:t>
      </w:r>
      <w:r w:rsidR="00AB6F56" w:rsidRPr="009866FE">
        <w:rPr>
          <w:b/>
          <w:sz w:val="20"/>
        </w:rPr>
        <w:t>zeitabhängigen Kosten</w:t>
      </w:r>
      <w:r w:rsidR="00AB6F56">
        <w:rPr>
          <w:sz w:val="20"/>
        </w:rPr>
        <w:t>, wie es</w:t>
      </w:r>
      <w:r w:rsidR="00104C70">
        <w:rPr>
          <w:sz w:val="20"/>
        </w:rPr>
        <w:t xml:space="preserve"> (auch)</w:t>
      </w:r>
      <w:r w:rsidR="00AB6F56">
        <w:rPr>
          <w:sz w:val="20"/>
        </w:rPr>
        <w:t xml:space="preserve"> in der österreichischen Umsetzung</w:t>
      </w:r>
      <w:r w:rsidR="00104C70">
        <w:rPr>
          <w:sz w:val="20"/>
        </w:rPr>
        <w:t xml:space="preserve"> der Verbra</w:t>
      </w:r>
      <w:r w:rsidR="00104C70">
        <w:rPr>
          <w:sz w:val="20"/>
        </w:rPr>
        <w:t>u</w:t>
      </w:r>
      <w:r w:rsidR="00104C70">
        <w:rPr>
          <w:sz w:val="20"/>
        </w:rPr>
        <w:t>cherkredit-Richtlinie</w:t>
      </w:r>
      <w:r w:rsidR="00AB6F56">
        <w:rPr>
          <w:sz w:val="20"/>
        </w:rPr>
        <w:t xml:space="preserve"> in §</w:t>
      </w:r>
      <w:r w:rsidR="00104C70">
        <w:rPr>
          <w:sz w:val="20"/>
        </w:rPr>
        <w:t xml:space="preserve"> 16 Verbraucherkreditgesetz (VKrG)</w:t>
      </w:r>
      <w:r w:rsidR="00AB6F56">
        <w:rPr>
          <w:sz w:val="20"/>
        </w:rPr>
        <w:t xml:space="preserve"> vorgesehen ist. </w:t>
      </w:r>
      <w:r w:rsidR="00DA1A20">
        <w:rPr>
          <w:sz w:val="20"/>
        </w:rPr>
        <w:t>Eine entspr</w:t>
      </w:r>
      <w:r w:rsidR="00DA1A20">
        <w:rPr>
          <w:sz w:val="20"/>
        </w:rPr>
        <w:t>e</w:t>
      </w:r>
      <w:r w:rsidR="00DA1A20">
        <w:rPr>
          <w:sz w:val="20"/>
        </w:rPr>
        <w:t>chend idente</w:t>
      </w:r>
      <w:r w:rsidR="00AA4886">
        <w:rPr>
          <w:sz w:val="20"/>
        </w:rPr>
        <w:t xml:space="preserve"> Regelung findet sich </w:t>
      </w:r>
      <w:r w:rsidR="00761723">
        <w:rPr>
          <w:sz w:val="20"/>
        </w:rPr>
        <w:t xml:space="preserve">auch </w:t>
      </w:r>
      <w:r w:rsidR="009866FE">
        <w:rPr>
          <w:sz w:val="20"/>
        </w:rPr>
        <w:t>in § 20</w:t>
      </w:r>
      <w:r w:rsidR="00AA4886">
        <w:rPr>
          <w:sz w:val="20"/>
        </w:rPr>
        <w:t xml:space="preserve"> Hypothekar- und Immobilienkreditgesetz (HIKrG).</w:t>
      </w:r>
    </w:p>
    <w:p w:rsidR="008B625F" w:rsidRDefault="008B625F" w:rsidP="00F77659">
      <w:pPr>
        <w:rPr>
          <w:sz w:val="20"/>
        </w:rPr>
      </w:pPr>
    </w:p>
    <w:p w:rsidR="00DA1A20" w:rsidRDefault="009866FE" w:rsidP="00F77659">
      <w:pPr>
        <w:rPr>
          <w:b/>
          <w:sz w:val="20"/>
        </w:rPr>
      </w:pPr>
      <w:r>
        <w:rPr>
          <w:b/>
          <w:sz w:val="20"/>
        </w:rPr>
        <w:t>Mit der nun vorliegenden</w:t>
      </w:r>
      <w:r w:rsidR="00AB6F56" w:rsidRPr="00AA4886">
        <w:rPr>
          <w:b/>
          <w:sz w:val="20"/>
        </w:rPr>
        <w:t xml:space="preserve"> Korrektur</w:t>
      </w:r>
      <w:r w:rsidR="008B625F" w:rsidRPr="00AA4886">
        <w:rPr>
          <w:b/>
          <w:sz w:val="20"/>
        </w:rPr>
        <w:t xml:space="preserve"> </w:t>
      </w:r>
      <w:r w:rsidR="00AA4886" w:rsidRPr="00AA4886">
        <w:rPr>
          <w:b/>
          <w:sz w:val="20"/>
        </w:rPr>
        <w:t>der beiden Gesetze wird beabsichtigt</w:t>
      </w:r>
      <w:r w:rsidR="008B625F" w:rsidRPr="00AA4886">
        <w:rPr>
          <w:b/>
          <w:sz w:val="20"/>
        </w:rPr>
        <w:t xml:space="preserve"> eine</w:t>
      </w:r>
      <w:r w:rsidR="008B625F">
        <w:rPr>
          <w:sz w:val="20"/>
        </w:rPr>
        <w:t xml:space="preserve"> </w:t>
      </w:r>
      <w:r w:rsidR="008B625F" w:rsidRPr="00AA4886">
        <w:rPr>
          <w:b/>
          <w:sz w:val="20"/>
        </w:rPr>
        <w:t>richtl</w:t>
      </w:r>
      <w:r w:rsidR="008B625F" w:rsidRPr="00AA4886">
        <w:rPr>
          <w:b/>
          <w:sz w:val="20"/>
        </w:rPr>
        <w:t>i</w:t>
      </w:r>
      <w:r w:rsidR="008B625F" w:rsidRPr="00AA4886">
        <w:rPr>
          <w:b/>
          <w:sz w:val="20"/>
        </w:rPr>
        <w:t xml:space="preserve">nienkonforme Rechtslage sicher zu stellen. </w:t>
      </w:r>
    </w:p>
    <w:p w:rsidR="00DA1A20" w:rsidRDefault="00DA1A20" w:rsidP="00F77659">
      <w:pPr>
        <w:rPr>
          <w:b/>
          <w:sz w:val="20"/>
        </w:rPr>
      </w:pPr>
    </w:p>
    <w:p w:rsidR="008B625F" w:rsidRDefault="008B625F" w:rsidP="00F77659">
      <w:pPr>
        <w:rPr>
          <w:sz w:val="20"/>
        </w:rPr>
      </w:pPr>
      <w:r w:rsidRPr="00AA4886">
        <w:rPr>
          <w:b/>
          <w:sz w:val="20"/>
        </w:rPr>
        <w:t>Dieses Ziel wird aus zwei Gründen klar verfehlt</w:t>
      </w:r>
      <w:r>
        <w:rPr>
          <w:sz w:val="20"/>
        </w:rPr>
        <w:t xml:space="preserve">: </w:t>
      </w:r>
    </w:p>
    <w:p w:rsidR="00104C70" w:rsidRDefault="00104C70" w:rsidP="00F77659">
      <w:pPr>
        <w:rPr>
          <w:sz w:val="20"/>
        </w:rPr>
      </w:pPr>
    </w:p>
    <w:p w:rsidR="008B625F" w:rsidRDefault="008B625F" w:rsidP="008B625F">
      <w:pPr>
        <w:pStyle w:val="Listenabsatz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Der Entwurf sieht vor, dass die Änderungen </w:t>
      </w:r>
      <w:r w:rsidRPr="00AA4886">
        <w:rPr>
          <w:b/>
          <w:sz w:val="20"/>
        </w:rPr>
        <w:t>nur für Kreditverträge gelten sollen, die nach dem 30. November 2020</w:t>
      </w:r>
      <w:r>
        <w:rPr>
          <w:sz w:val="20"/>
        </w:rPr>
        <w:t xml:space="preserve"> abgeschlossen werden.</w:t>
      </w:r>
    </w:p>
    <w:p w:rsidR="00DA1A20" w:rsidRDefault="00DA1A20" w:rsidP="00DA1A20">
      <w:pPr>
        <w:pStyle w:val="Listenabsatz"/>
        <w:rPr>
          <w:sz w:val="20"/>
        </w:rPr>
      </w:pPr>
    </w:p>
    <w:p w:rsidR="004738AA" w:rsidRDefault="004738AA" w:rsidP="00DA1A20">
      <w:pPr>
        <w:pStyle w:val="Listenabsatz"/>
        <w:rPr>
          <w:sz w:val="20"/>
        </w:rPr>
      </w:pPr>
    </w:p>
    <w:p w:rsidR="00F77659" w:rsidRPr="008B625F" w:rsidRDefault="000F4595" w:rsidP="008B625F">
      <w:pPr>
        <w:pStyle w:val="Listenabsatz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Mittels der Erläuterungen</w:t>
      </w:r>
      <w:r w:rsidR="008B625F">
        <w:rPr>
          <w:sz w:val="20"/>
        </w:rPr>
        <w:t xml:space="preserve"> wird eine neue </w:t>
      </w:r>
      <w:r w:rsidR="008B625F" w:rsidRPr="00AA4886">
        <w:rPr>
          <w:b/>
          <w:sz w:val="20"/>
        </w:rPr>
        <w:t>richtlinienwidrige Ausnahme</w:t>
      </w:r>
      <w:r w:rsidR="008B625F">
        <w:rPr>
          <w:sz w:val="20"/>
        </w:rPr>
        <w:t xml:space="preserve"> </w:t>
      </w:r>
      <w:r>
        <w:rPr>
          <w:sz w:val="20"/>
        </w:rPr>
        <w:t>propagiert</w:t>
      </w:r>
      <w:r w:rsidR="00104C70">
        <w:rPr>
          <w:sz w:val="20"/>
        </w:rPr>
        <w:t xml:space="preserve">, indem </w:t>
      </w:r>
      <w:r w:rsidR="00DA1A20">
        <w:rPr>
          <w:sz w:val="20"/>
        </w:rPr>
        <w:t>davon ausgegangen</w:t>
      </w:r>
      <w:r>
        <w:rPr>
          <w:sz w:val="20"/>
        </w:rPr>
        <w:t xml:space="preserve"> wird, dass die </w:t>
      </w:r>
      <w:r w:rsidRPr="00AA4886">
        <w:rPr>
          <w:b/>
          <w:sz w:val="20"/>
        </w:rPr>
        <w:t>Provision eines Kreditvermittlers</w:t>
      </w:r>
      <w:r>
        <w:rPr>
          <w:sz w:val="20"/>
        </w:rPr>
        <w:t xml:space="preserve"> vom Gebot der verhältnismäßigen Verringerung der Gesamtkosten bei vorzeitiger Rüc</w:t>
      </w:r>
      <w:r>
        <w:rPr>
          <w:sz w:val="20"/>
        </w:rPr>
        <w:t>k</w:t>
      </w:r>
      <w:r>
        <w:rPr>
          <w:sz w:val="20"/>
        </w:rPr>
        <w:t xml:space="preserve">zahlung </w:t>
      </w:r>
      <w:r w:rsidRPr="00AA4886">
        <w:rPr>
          <w:b/>
          <w:sz w:val="20"/>
        </w:rPr>
        <w:t>nicht umfasst</w:t>
      </w:r>
      <w:r>
        <w:rPr>
          <w:sz w:val="20"/>
        </w:rPr>
        <w:t xml:space="preserve"> ist.</w:t>
      </w:r>
    </w:p>
    <w:p w:rsidR="00F77659" w:rsidRPr="00E51297" w:rsidRDefault="00F77659" w:rsidP="00F77659">
      <w:pPr>
        <w:rPr>
          <w:sz w:val="20"/>
        </w:rPr>
      </w:pPr>
    </w:p>
    <w:p w:rsidR="00F77659" w:rsidRPr="00E51297" w:rsidRDefault="00F77659" w:rsidP="00F77659">
      <w:pPr>
        <w:rPr>
          <w:sz w:val="20"/>
        </w:rPr>
      </w:pPr>
    </w:p>
    <w:p w:rsidR="00F77659" w:rsidRPr="00E51297" w:rsidRDefault="00F77659" w:rsidP="00F77659">
      <w:pPr>
        <w:rPr>
          <w:sz w:val="20"/>
        </w:rPr>
      </w:pPr>
      <w:r w:rsidRPr="00E51297">
        <w:rPr>
          <w:sz w:val="20"/>
        </w:rPr>
        <w:t>Zu den wesentlichen Bestimmungen des geplanten Entwurfs:</w:t>
      </w:r>
    </w:p>
    <w:p w:rsidR="00F77659" w:rsidRDefault="00F77659" w:rsidP="00F77659">
      <w:pPr>
        <w:rPr>
          <w:sz w:val="20"/>
        </w:rPr>
      </w:pPr>
    </w:p>
    <w:p w:rsidR="00676030" w:rsidRPr="009866FE" w:rsidRDefault="009866FE" w:rsidP="00F77659">
      <w:pPr>
        <w:rPr>
          <w:b/>
          <w:sz w:val="20"/>
        </w:rPr>
      </w:pPr>
      <w:r w:rsidRPr="009866FE">
        <w:rPr>
          <w:b/>
          <w:sz w:val="20"/>
        </w:rPr>
        <w:t>Artikel 1 § 16 Abs 1 VKrG und Artikel 2 § 20 Abs 1 HIKrG</w:t>
      </w:r>
    </w:p>
    <w:p w:rsidR="00676030" w:rsidRDefault="00676030" w:rsidP="00F77659">
      <w:pPr>
        <w:rPr>
          <w:sz w:val="20"/>
        </w:rPr>
      </w:pPr>
    </w:p>
    <w:p w:rsidR="009866FE" w:rsidRDefault="007D3846" w:rsidP="00F77659">
      <w:pPr>
        <w:rPr>
          <w:sz w:val="20"/>
        </w:rPr>
      </w:pPr>
      <w:r>
        <w:rPr>
          <w:sz w:val="20"/>
        </w:rPr>
        <w:t xml:space="preserve">Die Entscheidung des </w:t>
      </w:r>
      <w:r w:rsidR="004B252C">
        <w:rPr>
          <w:sz w:val="20"/>
        </w:rPr>
        <w:t xml:space="preserve">EuGH legt fest, dass </w:t>
      </w:r>
      <w:r w:rsidR="00FC16F6">
        <w:rPr>
          <w:sz w:val="20"/>
        </w:rPr>
        <w:t xml:space="preserve">das Recht des Verbrauchers auf Ermäßigung der Gesamtkosten </w:t>
      </w:r>
      <w:r w:rsidR="004B252C">
        <w:rPr>
          <w:sz w:val="20"/>
        </w:rPr>
        <w:t xml:space="preserve">bei der vorzeitigen Rückzahlung sämtliche dem Verbraucher auferlegte Kosten </w:t>
      </w:r>
      <w:r w:rsidR="004738AA">
        <w:rPr>
          <w:sz w:val="20"/>
        </w:rPr>
        <w:t>–</w:t>
      </w:r>
      <w:r w:rsidR="004B252C">
        <w:rPr>
          <w:sz w:val="20"/>
        </w:rPr>
        <w:t xml:space="preserve"> im Sinn der Definition der </w:t>
      </w:r>
      <w:r w:rsidR="00405426">
        <w:rPr>
          <w:sz w:val="20"/>
        </w:rPr>
        <w:t>Gesamtkosten des Kredits des Art 3 lit g</w:t>
      </w:r>
      <w:r>
        <w:rPr>
          <w:sz w:val="20"/>
        </w:rPr>
        <w:t xml:space="preserve"> VKrRL </w:t>
      </w:r>
      <w:r w:rsidR="004B252C">
        <w:rPr>
          <w:sz w:val="20"/>
        </w:rPr>
        <w:t>– u</w:t>
      </w:r>
      <w:r w:rsidR="004B252C">
        <w:rPr>
          <w:sz w:val="20"/>
        </w:rPr>
        <w:t>m</w:t>
      </w:r>
      <w:r w:rsidR="004B252C">
        <w:rPr>
          <w:sz w:val="20"/>
        </w:rPr>
        <w:t>fasst. Es sollte daher nicht nur das Wort „laufzeitabhängig“ in den beiden österreichischen Bestimmungen g</w:t>
      </w:r>
      <w:r w:rsidR="00FC16F6">
        <w:rPr>
          <w:sz w:val="20"/>
        </w:rPr>
        <w:t>estrichen werden, sondern statt</w:t>
      </w:r>
      <w:r w:rsidR="004B252C">
        <w:rPr>
          <w:sz w:val="20"/>
        </w:rPr>
        <w:t xml:space="preserve"> nur „Kosten“, sollte der vom EuGH in der Begründung genannte </w:t>
      </w:r>
      <w:r w:rsidR="004B252C" w:rsidRPr="004B252C">
        <w:rPr>
          <w:b/>
          <w:sz w:val="20"/>
        </w:rPr>
        <w:t>Begriff der „Gesamtkosten“</w:t>
      </w:r>
      <w:r w:rsidR="00B3355B">
        <w:rPr>
          <w:b/>
          <w:sz w:val="20"/>
        </w:rPr>
        <w:t>, der dem Richtlinienwortlaut en</w:t>
      </w:r>
      <w:r w:rsidR="00FC16F6">
        <w:rPr>
          <w:b/>
          <w:sz w:val="20"/>
        </w:rPr>
        <w:t>t</w:t>
      </w:r>
      <w:r w:rsidR="00B3355B">
        <w:rPr>
          <w:b/>
          <w:sz w:val="20"/>
        </w:rPr>
        <w:t>spricht,</w:t>
      </w:r>
      <w:r w:rsidR="003A2D50">
        <w:rPr>
          <w:b/>
          <w:sz w:val="20"/>
        </w:rPr>
        <w:t xml:space="preserve"> in beid</w:t>
      </w:r>
      <w:r w:rsidR="004B252C" w:rsidRPr="004B252C">
        <w:rPr>
          <w:b/>
          <w:sz w:val="20"/>
        </w:rPr>
        <w:t>e Gesetzestexte</w:t>
      </w:r>
      <w:r w:rsidR="004B252C">
        <w:rPr>
          <w:sz w:val="20"/>
        </w:rPr>
        <w:t xml:space="preserve"> aufgenommen werden.</w:t>
      </w:r>
    </w:p>
    <w:p w:rsidR="009866FE" w:rsidRDefault="009866FE" w:rsidP="00F77659">
      <w:pPr>
        <w:rPr>
          <w:sz w:val="20"/>
        </w:rPr>
      </w:pPr>
    </w:p>
    <w:p w:rsidR="0011273F" w:rsidRDefault="004B252C" w:rsidP="00F77659">
      <w:pPr>
        <w:rPr>
          <w:sz w:val="20"/>
        </w:rPr>
      </w:pPr>
      <w:r>
        <w:rPr>
          <w:sz w:val="20"/>
        </w:rPr>
        <w:t xml:space="preserve">Die in den Erläuterungen angenommene </w:t>
      </w:r>
      <w:r w:rsidRPr="006A3AF7">
        <w:rPr>
          <w:b/>
          <w:sz w:val="20"/>
        </w:rPr>
        <w:t>Ausnahme von Provisionen eines Kreditve</w:t>
      </w:r>
      <w:r w:rsidRPr="006A3AF7">
        <w:rPr>
          <w:b/>
          <w:sz w:val="20"/>
        </w:rPr>
        <w:t>r</w:t>
      </w:r>
      <w:r w:rsidRPr="006A3AF7">
        <w:rPr>
          <w:b/>
          <w:sz w:val="20"/>
        </w:rPr>
        <w:t>mittlers ist verfehlt und widerspricht dem klaren Richtlinienwortlaut und dem EuGH-Urteil</w:t>
      </w:r>
      <w:r>
        <w:rPr>
          <w:sz w:val="20"/>
        </w:rPr>
        <w:t xml:space="preserve">. </w:t>
      </w:r>
      <w:r w:rsidR="006A3AF7">
        <w:rPr>
          <w:sz w:val="20"/>
        </w:rPr>
        <w:t>Neben Art 3</w:t>
      </w:r>
      <w:r w:rsidR="003A2D50">
        <w:rPr>
          <w:sz w:val="20"/>
        </w:rPr>
        <w:t xml:space="preserve"> VKrRL</w:t>
      </w:r>
      <w:r w:rsidR="006A3AF7">
        <w:rPr>
          <w:sz w:val="20"/>
        </w:rPr>
        <w:t>, der die Gesamtkosten definiert und „sämtliche Kosten, ei</w:t>
      </w:r>
      <w:r w:rsidR="006A3AF7">
        <w:rPr>
          <w:sz w:val="20"/>
        </w:rPr>
        <w:t>n</w:t>
      </w:r>
      <w:r w:rsidR="006A3AF7">
        <w:rPr>
          <w:sz w:val="20"/>
        </w:rPr>
        <w:t>schließlich der Zinsen, Provisionen, Steuern und Kosten jeder Art – ausgenommen Notarg</w:t>
      </w:r>
      <w:r w:rsidR="006A3AF7">
        <w:rPr>
          <w:sz w:val="20"/>
        </w:rPr>
        <w:t>e</w:t>
      </w:r>
      <w:r w:rsidR="006A3AF7">
        <w:rPr>
          <w:sz w:val="20"/>
        </w:rPr>
        <w:t xml:space="preserve">bühren“ nennt und Art 16 VKrRL, der eine Ermäßigen der Gesamtkosten vorsieht, finden die „Entgelte für Kreditvermittler“ explizit </w:t>
      </w:r>
      <w:r w:rsidR="003A2D50">
        <w:rPr>
          <w:sz w:val="20"/>
        </w:rPr>
        <w:t xml:space="preserve">Erwähnung </w:t>
      </w:r>
      <w:r w:rsidR="006A3AF7">
        <w:rPr>
          <w:sz w:val="20"/>
        </w:rPr>
        <w:t>in Erwägungsgrund 20 der VKrRL (ebenso in Erwägungsgrund 50 der Richtlinie über Wohnimmobilienkreditverträge für Verbraucher).</w:t>
      </w:r>
      <w:r w:rsidR="00405426">
        <w:rPr>
          <w:sz w:val="20"/>
        </w:rPr>
        <w:t xml:space="preserve"> An einer Berücksichtigung der Provisionen der Kreditvermittler bei der Ermäßigung der G</w:t>
      </w:r>
      <w:r w:rsidR="00405426">
        <w:rPr>
          <w:sz w:val="20"/>
        </w:rPr>
        <w:t>e</w:t>
      </w:r>
      <w:r w:rsidR="00405426">
        <w:rPr>
          <w:sz w:val="20"/>
        </w:rPr>
        <w:t>samtkosten kann daher nicht gezweifelt werden.</w:t>
      </w:r>
      <w:r w:rsidR="00443F13">
        <w:rPr>
          <w:sz w:val="20"/>
        </w:rPr>
        <w:t xml:space="preserve"> </w:t>
      </w:r>
    </w:p>
    <w:p w:rsidR="0011273F" w:rsidRDefault="0011273F" w:rsidP="00F77659">
      <w:pPr>
        <w:rPr>
          <w:sz w:val="20"/>
        </w:rPr>
      </w:pPr>
    </w:p>
    <w:p w:rsidR="00405426" w:rsidRDefault="00443F13" w:rsidP="00F77659">
      <w:pPr>
        <w:rPr>
          <w:sz w:val="20"/>
        </w:rPr>
      </w:pPr>
      <w:r>
        <w:rPr>
          <w:sz w:val="20"/>
        </w:rPr>
        <w:t xml:space="preserve">Die Erläuterungen sollten zudem </w:t>
      </w:r>
      <w:r w:rsidR="0011273F">
        <w:rPr>
          <w:sz w:val="20"/>
        </w:rPr>
        <w:t>auch ausdrücklich die Gebühren für die</w:t>
      </w:r>
      <w:r>
        <w:rPr>
          <w:sz w:val="20"/>
        </w:rPr>
        <w:t xml:space="preserve"> Grundbucheintr</w:t>
      </w:r>
      <w:r>
        <w:rPr>
          <w:sz w:val="20"/>
        </w:rPr>
        <w:t>a</w:t>
      </w:r>
      <w:r>
        <w:rPr>
          <w:sz w:val="20"/>
        </w:rPr>
        <w:t xml:space="preserve">gung, die nach der VKrRL </w:t>
      </w:r>
      <w:r w:rsidR="0011273F">
        <w:rPr>
          <w:sz w:val="20"/>
        </w:rPr>
        <w:t xml:space="preserve">ebenfalls </w:t>
      </w:r>
      <w:r>
        <w:rPr>
          <w:sz w:val="20"/>
        </w:rPr>
        <w:t>Teil der Gesamtkos</w:t>
      </w:r>
      <w:r w:rsidR="0011273F">
        <w:rPr>
          <w:sz w:val="20"/>
        </w:rPr>
        <w:t>ten sind, aufnehmen.</w:t>
      </w:r>
    </w:p>
    <w:p w:rsidR="0011273F" w:rsidRDefault="0011273F" w:rsidP="00F77659">
      <w:pPr>
        <w:rPr>
          <w:sz w:val="20"/>
        </w:rPr>
      </w:pPr>
    </w:p>
    <w:p w:rsidR="00405426" w:rsidRPr="00405426" w:rsidRDefault="00405426" w:rsidP="00F77659">
      <w:pPr>
        <w:rPr>
          <w:b/>
          <w:sz w:val="20"/>
        </w:rPr>
      </w:pPr>
      <w:r w:rsidRPr="00405426">
        <w:rPr>
          <w:b/>
          <w:sz w:val="20"/>
        </w:rPr>
        <w:t>Artikel 1 § 29 Abs 11 VKrG und Artikel 2 § 31 Abs 5 HIKrG</w:t>
      </w:r>
    </w:p>
    <w:p w:rsidR="00405426" w:rsidRDefault="00405426" w:rsidP="00F77659">
      <w:pPr>
        <w:rPr>
          <w:sz w:val="20"/>
        </w:rPr>
      </w:pPr>
    </w:p>
    <w:p w:rsidR="004738AA" w:rsidRDefault="0011273F" w:rsidP="00F77659">
      <w:pPr>
        <w:rPr>
          <w:b/>
          <w:sz w:val="20"/>
        </w:rPr>
      </w:pPr>
      <w:r>
        <w:rPr>
          <w:sz w:val="20"/>
        </w:rPr>
        <w:t xml:space="preserve">Der Entwurf sieht vor, dass die Änderungen und somit die </w:t>
      </w:r>
      <w:r w:rsidRPr="0011273F">
        <w:rPr>
          <w:b/>
          <w:sz w:val="20"/>
        </w:rPr>
        <w:t>Herstellung des richtlinienko</w:t>
      </w:r>
      <w:r w:rsidRPr="0011273F">
        <w:rPr>
          <w:b/>
          <w:sz w:val="20"/>
        </w:rPr>
        <w:t>n</w:t>
      </w:r>
      <w:r w:rsidRPr="0011273F">
        <w:rPr>
          <w:b/>
          <w:sz w:val="20"/>
        </w:rPr>
        <w:t>formen Zustandes erst für neu abgeschlossene Verträge ab Dezember 2020</w:t>
      </w:r>
      <w:r>
        <w:rPr>
          <w:sz w:val="20"/>
        </w:rPr>
        <w:t xml:space="preserve"> wirksam sein sollen. Das bedeutet, dass alle bestehenden Verträge, die seit dem 11.Juni 2010 abg</w:t>
      </w:r>
      <w:r>
        <w:rPr>
          <w:sz w:val="20"/>
        </w:rPr>
        <w:t>e</w:t>
      </w:r>
      <w:r>
        <w:rPr>
          <w:sz w:val="20"/>
        </w:rPr>
        <w:t>schlossen wurden und dem VKrG bzw dem HIKrG unterliegen, nicht berücksi</w:t>
      </w:r>
      <w:r w:rsidR="00B3355B">
        <w:rPr>
          <w:sz w:val="20"/>
        </w:rPr>
        <w:t>chtigt werden. Dazu ist zu anzumerken, dass aktuell</w:t>
      </w:r>
      <w:r>
        <w:rPr>
          <w:sz w:val="20"/>
        </w:rPr>
        <w:t xml:space="preserve"> mehrere Verbandsverfahren bei Gericht anhängig sind, </w:t>
      </w:r>
      <w:r w:rsidR="00D86C6D">
        <w:rPr>
          <w:sz w:val="20"/>
        </w:rPr>
        <w:t>die abklären sollen, ob eine richtlinienkonforme Auslegung der bestehenden österre</w:t>
      </w:r>
      <w:r w:rsidR="00D86C6D">
        <w:rPr>
          <w:sz w:val="20"/>
        </w:rPr>
        <w:t>i</w:t>
      </w:r>
      <w:r w:rsidR="00D86C6D">
        <w:rPr>
          <w:sz w:val="20"/>
        </w:rPr>
        <w:t xml:space="preserve">chischen Bestimmungen möglich ist. </w:t>
      </w:r>
      <w:r w:rsidR="00D86C6D" w:rsidRPr="00FC16F6">
        <w:rPr>
          <w:b/>
          <w:sz w:val="20"/>
        </w:rPr>
        <w:t>Wenn die Gerichte z</w:t>
      </w:r>
      <w:r w:rsidR="003A2D50">
        <w:rPr>
          <w:b/>
          <w:sz w:val="20"/>
        </w:rPr>
        <w:t>u</w:t>
      </w:r>
      <w:r w:rsidR="00B3355B" w:rsidRPr="00FC16F6">
        <w:rPr>
          <w:b/>
          <w:sz w:val="20"/>
        </w:rPr>
        <w:t>m</w:t>
      </w:r>
      <w:r w:rsidR="00D86C6D" w:rsidRPr="00FC16F6">
        <w:rPr>
          <w:b/>
          <w:sz w:val="20"/>
        </w:rPr>
        <w:t xml:space="preserve"> Ergebnis kommen sollten, das eine richtlin</w:t>
      </w:r>
      <w:r w:rsidR="00B3355B" w:rsidRPr="00FC16F6">
        <w:rPr>
          <w:b/>
          <w:sz w:val="20"/>
        </w:rPr>
        <w:t>i</w:t>
      </w:r>
      <w:r w:rsidR="00D86C6D" w:rsidRPr="00FC16F6">
        <w:rPr>
          <w:b/>
          <w:sz w:val="20"/>
        </w:rPr>
        <w:t>enkonforme Interpretation ausschließt, weil das heimische Recht contra legem auszulegen wäre, dann</w:t>
      </w:r>
      <w:r w:rsidR="00B3355B" w:rsidRPr="00FC16F6">
        <w:rPr>
          <w:b/>
          <w:sz w:val="20"/>
        </w:rPr>
        <w:t xml:space="preserve"> hätte das </w:t>
      </w:r>
      <w:r w:rsidR="00FC16F6" w:rsidRPr="00FC16F6">
        <w:rPr>
          <w:b/>
          <w:sz w:val="20"/>
        </w:rPr>
        <w:t>eine</w:t>
      </w:r>
      <w:r w:rsidR="004738AA">
        <w:rPr>
          <w:b/>
          <w:sz w:val="20"/>
        </w:rPr>
        <w:t xml:space="preserve"> </w:t>
      </w:r>
      <w:r w:rsidR="004738AA" w:rsidRPr="004738AA">
        <w:rPr>
          <w:b/>
          <w:sz w:val="20"/>
        </w:rPr>
        <w:t>–</w:t>
      </w:r>
      <w:r w:rsidR="004738AA">
        <w:rPr>
          <w:sz w:val="20"/>
        </w:rPr>
        <w:t xml:space="preserve"> </w:t>
      </w:r>
      <w:r w:rsidR="00B3355B" w:rsidRPr="00FC16F6">
        <w:rPr>
          <w:b/>
          <w:sz w:val="20"/>
        </w:rPr>
        <w:t xml:space="preserve">aus Verbrauchersicht äußerst problematische </w:t>
      </w:r>
      <w:r w:rsidR="004738AA" w:rsidRPr="004738AA">
        <w:rPr>
          <w:b/>
          <w:sz w:val="20"/>
        </w:rPr>
        <w:t>–</w:t>
      </w:r>
      <w:r w:rsidR="00B3355B" w:rsidRPr="00FC16F6">
        <w:rPr>
          <w:b/>
          <w:sz w:val="20"/>
        </w:rPr>
        <w:t xml:space="preserve"> </w:t>
      </w:r>
      <w:r w:rsidR="00FC16F6" w:rsidRPr="00FC16F6">
        <w:rPr>
          <w:b/>
          <w:sz w:val="20"/>
        </w:rPr>
        <w:t xml:space="preserve">Situation zur Folge. </w:t>
      </w:r>
    </w:p>
    <w:p w:rsidR="004738AA" w:rsidRDefault="004738AA" w:rsidP="00F77659">
      <w:pPr>
        <w:rPr>
          <w:b/>
          <w:sz w:val="20"/>
        </w:rPr>
      </w:pPr>
    </w:p>
    <w:p w:rsidR="00405426" w:rsidRDefault="00FC16F6" w:rsidP="00F77659">
      <w:pPr>
        <w:rPr>
          <w:sz w:val="20"/>
        </w:rPr>
      </w:pPr>
      <w:r w:rsidRPr="00FC16F6">
        <w:rPr>
          <w:b/>
          <w:sz w:val="20"/>
        </w:rPr>
        <w:lastRenderedPageBreak/>
        <w:t>T</w:t>
      </w:r>
      <w:r w:rsidR="00D86C6D" w:rsidRPr="00FC16F6">
        <w:rPr>
          <w:b/>
          <w:sz w:val="20"/>
        </w:rPr>
        <w:t>rotz</w:t>
      </w:r>
      <w:r w:rsidR="006424C7" w:rsidRPr="00FC16F6">
        <w:rPr>
          <w:b/>
          <w:sz w:val="20"/>
        </w:rPr>
        <w:t xml:space="preserve"> der</w:t>
      </w:r>
      <w:r w:rsidR="00D86C6D" w:rsidRPr="00FC16F6">
        <w:rPr>
          <w:b/>
          <w:sz w:val="20"/>
        </w:rPr>
        <w:t xml:space="preserve"> nun unternommenen Reparatur </w:t>
      </w:r>
      <w:r w:rsidRPr="00FC16F6">
        <w:rPr>
          <w:b/>
          <w:sz w:val="20"/>
        </w:rPr>
        <w:t>würde die EU-rechtswidrige Gesetzes</w:t>
      </w:r>
      <w:r w:rsidR="00D86C6D" w:rsidRPr="00FC16F6">
        <w:rPr>
          <w:b/>
          <w:sz w:val="20"/>
        </w:rPr>
        <w:t xml:space="preserve">lage für alle Altverträge fortbestehen. </w:t>
      </w:r>
      <w:r w:rsidR="006424C7" w:rsidRPr="00FC16F6">
        <w:rPr>
          <w:b/>
          <w:sz w:val="20"/>
        </w:rPr>
        <w:t xml:space="preserve">Zudem </w:t>
      </w:r>
      <w:r w:rsidR="00B3355B" w:rsidRPr="00FC16F6">
        <w:rPr>
          <w:b/>
          <w:sz w:val="20"/>
        </w:rPr>
        <w:t>drohen der</w:t>
      </w:r>
      <w:r w:rsidR="006424C7" w:rsidRPr="00FC16F6">
        <w:rPr>
          <w:b/>
          <w:sz w:val="20"/>
        </w:rPr>
        <w:t xml:space="preserve"> Republik Österreich </w:t>
      </w:r>
      <w:r w:rsidR="00D86C6D" w:rsidRPr="00FC16F6">
        <w:rPr>
          <w:b/>
          <w:sz w:val="20"/>
        </w:rPr>
        <w:t xml:space="preserve">für diesen Fall </w:t>
      </w:r>
      <w:r w:rsidR="006424C7" w:rsidRPr="00FC16F6">
        <w:rPr>
          <w:b/>
          <w:sz w:val="20"/>
        </w:rPr>
        <w:t>Klagen aufgrund von Staatshaftung</w:t>
      </w:r>
      <w:r w:rsidR="006424C7">
        <w:rPr>
          <w:sz w:val="20"/>
        </w:rPr>
        <w:t>, insb</w:t>
      </w:r>
      <w:r w:rsidR="003A2D50">
        <w:rPr>
          <w:sz w:val="20"/>
        </w:rPr>
        <w:t>esondere für den Zeitraum ab</w:t>
      </w:r>
      <w:r w:rsidR="006424C7">
        <w:rPr>
          <w:sz w:val="20"/>
        </w:rPr>
        <w:t xml:space="preserve"> Veröffentl</w:t>
      </w:r>
      <w:r w:rsidR="006424C7">
        <w:rPr>
          <w:sz w:val="20"/>
        </w:rPr>
        <w:t>i</w:t>
      </w:r>
      <w:r w:rsidR="006424C7">
        <w:rPr>
          <w:sz w:val="20"/>
        </w:rPr>
        <w:t>chung der Lexitor-Entscheidung im September 2019.</w:t>
      </w:r>
    </w:p>
    <w:p w:rsidR="00676030" w:rsidRPr="00E51297" w:rsidRDefault="00676030" w:rsidP="00F77659">
      <w:pPr>
        <w:rPr>
          <w:sz w:val="20"/>
        </w:rPr>
      </w:pPr>
    </w:p>
    <w:p w:rsidR="00F77659" w:rsidRPr="00761723" w:rsidRDefault="00761723" w:rsidP="00F77659">
      <w:pPr>
        <w:rPr>
          <w:b/>
          <w:sz w:val="20"/>
        </w:rPr>
      </w:pPr>
      <w:r w:rsidRPr="00761723">
        <w:rPr>
          <w:b/>
          <w:sz w:val="20"/>
        </w:rPr>
        <w:t>Artikel 1 § 4 Abs 2 Z 5 VKrG und Artikel 2 § 5 Abs 2 Z 3</w:t>
      </w:r>
      <w:r w:rsidR="00676030">
        <w:rPr>
          <w:b/>
          <w:sz w:val="20"/>
        </w:rPr>
        <w:t xml:space="preserve"> und § 27 HI</w:t>
      </w:r>
      <w:r w:rsidRPr="00761723">
        <w:rPr>
          <w:b/>
          <w:sz w:val="20"/>
        </w:rPr>
        <w:t>KrG</w:t>
      </w:r>
    </w:p>
    <w:p w:rsidR="00F77659" w:rsidRPr="00E51297" w:rsidRDefault="00F77659" w:rsidP="00F77659">
      <w:pPr>
        <w:rPr>
          <w:sz w:val="20"/>
        </w:rPr>
      </w:pPr>
    </w:p>
    <w:p w:rsidR="00F77659" w:rsidRPr="00E51297" w:rsidRDefault="00676030" w:rsidP="00F77659">
      <w:pPr>
        <w:rPr>
          <w:sz w:val="20"/>
        </w:rPr>
      </w:pPr>
      <w:r>
        <w:rPr>
          <w:sz w:val="20"/>
        </w:rPr>
        <w:t>Die Ausdehnung der Ausnahme des Anwendungsbereichs des VKrG und des HIKrG im Zusammenhang mit Kreditierungen der Wohnbauförderung wird abgelehnt.</w:t>
      </w:r>
      <w:r w:rsidR="00C74418" w:rsidRPr="00C74418">
        <w:rPr>
          <w:sz w:val="20"/>
        </w:rPr>
        <w:t xml:space="preserve"> </w:t>
      </w:r>
      <w:r w:rsidR="00C74418">
        <w:rPr>
          <w:sz w:val="20"/>
        </w:rPr>
        <w:t>Aus BAK-Sicht gibt es für die Änderungen keinerlei Anlass. Aus der Praxis sind uns keine Probleme bei der Prüfung der Kreditwürdigkeit und der Weitergabe von Kreditkonditionen bei der Übergabe von geme</w:t>
      </w:r>
      <w:r w:rsidR="00DA1A20">
        <w:rPr>
          <w:sz w:val="20"/>
        </w:rPr>
        <w:t>innützigen Bauvereinigungen an</w:t>
      </w:r>
      <w:r w:rsidR="00C74418">
        <w:rPr>
          <w:sz w:val="20"/>
        </w:rPr>
        <w:t xml:space="preserve"> Mietkaufende bekannt. Ein vollständiger Au</w:t>
      </w:r>
      <w:r w:rsidR="00C74418">
        <w:rPr>
          <w:sz w:val="20"/>
        </w:rPr>
        <w:t>s</w:t>
      </w:r>
      <w:r w:rsidR="00C74418">
        <w:rPr>
          <w:sz w:val="20"/>
        </w:rPr>
        <w:t>schluss aus dem gesetzlichen Schutzbereich würde eine unnötige rechtliche Schlechterste</w:t>
      </w:r>
      <w:r w:rsidR="00C74418">
        <w:rPr>
          <w:sz w:val="20"/>
        </w:rPr>
        <w:t>l</w:t>
      </w:r>
      <w:r w:rsidR="00C74418">
        <w:rPr>
          <w:sz w:val="20"/>
        </w:rPr>
        <w:t>lung von VerbraucherInnen darstellen.</w:t>
      </w:r>
    </w:p>
    <w:p w:rsidR="00F77659" w:rsidRDefault="00F77659" w:rsidP="00F77659">
      <w:pPr>
        <w:rPr>
          <w:sz w:val="20"/>
        </w:rPr>
      </w:pPr>
    </w:p>
    <w:p w:rsidR="00C74418" w:rsidRPr="00E51297" w:rsidRDefault="00C74418" w:rsidP="00F77659">
      <w:pPr>
        <w:rPr>
          <w:sz w:val="20"/>
        </w:rPr>
      </w:pPr>
    </w:p>
    <w:p w:rsidR="00F77659" w:rsidRPr="00E51297" w:rsidRDefault="00F77659" w:rsidP="00F77659">
      <w:pPr>
        <w:rPr>
          <w:sz w:val="20"/>
        </w:rPr>
      </w:pPr>
      <w:r w:rsidRPr="00E51297">
        <w:rPr>
          <w:sz w:val="20"/>
        </w:rPr>
        <w:t>Wir ersuchen um Berücksichtigung unserer Anliegen und Anregungen</w:t>
      </w:r>
      <w:r w:rsidR="000F4595">
        <w:rPr>
          <w:sz w:val="20"/>
        </w:rPr>
        <w:t xml:space="preserve"> und stehen für Rüc</w:t>
      </w:r>
      <w:r w:rsidR="000F4595">
        <w:rPr>
          <w:sz w:val="20"/>
        </w:rPr>
        <w:t>k</w:t>
      </w:r>
      <w:r w:rsidR="000F4595">
        <w:rPr>
          <w:sz w:val="20"/>
        </w:rPr>
        <w:t>fragen jederzeit gern zur Verfügung</w:t>
      </w:r>
      <w:r w:rsidRPr="00E51297">
        <w:rPr>
          <w:sz w:val="20"/>
        </w:rPr>
        <w:t>.</w:t>
      </w:r>
      <w:r w:rsidR="00C74418">
        <w:rPr>
          <w:sz w:val="20"/>
        </w:rPr>
        <w:t xml:space="preserve"> </w:t>
      </w:r>
    </w:p>
    <w:p w:rsidR="00C74418" w:rsidRPr="00E51297" w:rsidRDefault="00C74418">
      <w:pPr>
        <w:rPr>
          <w:sz w:val="20"/>
        </w:rPr>
      </w:pPr>
    </w:p>
    <w:sectPr w:rsidR="00C74418" w:rsidRPr="00E51297" w:rsidSect="00A23322">
      <w:headerReference w:type="default" r:id="rId10"/>
      <w:type w:val="continuous"/>
      <w:pgSz w:w="11907" w:h="16840" w:code="9"/>
      <w:pgMar w:top="2977" w:right="2268" w:bottom="1134" w:left="1418" w:header="1134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A5" w:rsidRDefault="00E24BA5">
      <w:r>
        <w:separator/>
      </w:r>
    </w:p>
  </w:endnote>
  <w:endnote w:type="continuationSeparator" w:id="0">
    <w:p w:rsidR="00E24BA5" w:rsidRDefault="00E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A5" w:rsidRDefault="00E24BA5">
      <w:r>
        <w:separator/>
      </w:r>
    </w:p>
  </w:footnote>
  <w:footnote w:type="continuationSeparator" w:id="0">
    <w:p w:rsidR="00E24BA5" w:rsidRDefault="00E2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1A" w:rsidRDefault="00C825B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-335280</wp:posOffset>
          </wp:positionV>
          <wp:extent cx="414020" cy="436880"/>
          <wp:effectExtent l="0" t="0" r="0" b="0"/>
          <wp:wrapNone/>
          <wp:docPr id="24" name="Bild 24" descr="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-306705</wp:posOffset>
          </wp:positionV>
          <wp:extent cx="1258570" cy="1656715"/>
          <wp:effectExtent l="0" t="0" r="0" b="0"/>
          <wp:wrapNone/>
          <wp:docPr id="23" name="Bild 23" descr="B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B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65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lang w:val="de-AT" w:eastAsia="de-AT"/>
      </w:rPr>
      <w:drawing>
        <wp:inline distT="0" distB="0" distL="0" distR="0">
          <wp:extent cx="9525" cy="9525"/>
          <wp:effectExtent l="0" t="0" r="0" b="0"/>
          <wp:docPr id="1" name="Bild 1" descr="AKOSTE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OSTE~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41" w:rsidRDefault="00FD0337">
    <w:pPr>
      <w:pStyle w:val="Kopfzeile"/>
      <w:tabs>
        <w:tab w:val="clear" w:pos="4536"/>
        <w:tab w:val="clear" w:pos="9072"/>
        <w:tab w:val="right" w:pos="9214"/>
      </w:tabs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84801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</w:r>
    <w:r w:rsidR="002609F6">
      <w:rPr>
        <w:rStyle w:val="Seitenzahl"/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2BC2B53E" wp14:editId="67AFDA1F">
          <wp:simplePos x="0" y="0"/>
          <wp:positionH relativeFrom="column">
            <wp:posOffset>5224325</wp:posOffset>
          </wp:positionH>
          <wp:positionV relativeFrom="paragraph">
            <wp:posOffset>-21350</wp:posOffset>
          </wp:positionV>
          <wp:extent cx="768350" cy="73025"/>
          <wp:effectExtent l="0" t="0" r="0" b="3175"/>
          <wp:wrapThrough wrapText="bothSides">
            <wp:wrapPolygon edited="0">
              <wp:start x="0" y="0"/>
              <wp:lineTo x="0" y="16904"/>
              <wp:lineTo x="15531" y="16904"/>
              <wp:lineTo x="18744" y="16904"/>
              <wp:lineTo x="20350" y="16904"/>
              <wp:lineTo x="20886" y="11270"/>
              <wp:lineTo x="20886" y="0"/>
              <wp:lineTo x="0" y="0"/>
            </wp:wrapPolygon>
          </wp:wrapThrough>
          <wp:docPr id="2" name="Grafik 2" descr="BA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KS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3111"/>
    <w:multiLevelType w:val="hybridMultilevel"/>
    <w:tmpl w:val="B8F05F4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F1355"/>
    <w:multiLevelType w:val="hybridMultilevel"/>
    <w:tmpl w:val="CC7EAF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B7"/>
    <w:rsid w:val="000062EE"/>
    <w:rsid w:val="000A2D01"/>
    <w:rsid w:val="000C7FFD"/>
    <w:rsid w:val="000D0684"/>
    <w:rsid w:val="000F4595"/>
    <w:rsid w:val="00104C70"/>
    <w:rsid w:val="0011273F"/>
    <w:rsid w:val="00112A3D"/>
    <w:rsid w:val="00187E9E"/>
    <w:rsid w:val="001B5368"/>
    <w:rsid w:val="001D4DC6"/>
    <w:rsid w:val="001E0E3A"/>
    <w:rsid w:val="001E581A"/>
    <w:rsid w:val="00225EB4"/>
    <w:rsid w:val="002609F6"/>
    <w:rsid w:val="00261442"/>
    <w:rsid w:val="00266007"/>
    <w:rsid w:val="003A2D50"/>
    <w:rsid w:val="003A70C5"/>
    <w:rsid w:val="003E0527"/>
    <w:rsid w:val="00405426"/>
    <w:rsid w:val="00443F13"/>
    <w:rsid w:val="004738AA"/>
    <w:rsid w:val="0048185E"/>
    <w:rsid w:val="004934AA"/>
    <w:rsid w:val="004964F9"/>
    <w:rsid w:val="004B252C"/>
    <w:rsid w:val="005753AF"/>
    <w:rsid w:val="005C6CEB"/>
    <w:rsid w:val="006424C7"/>
    <w:rsid w:val="00676030"/>
    <w:rsid w:val="00692FFF"/>
    <w:rsid w:val="006A3AF7"/>
    <w:rsid w:val="006C5645"/>
    <w:rsid w:val="00761723"/>
    <w:rsid w:val="007D3846"/>
    <w:rsid w:val="00837F36"/>
    <w:rsid w:val="008641BD"/>
    <w:rsid w:val="008B18AE"/>
    <w:rsid w:val="008B625F"/>
    <w:rsid w:val="0093078C"/>
    <w:rsid w:val="009866FE"/>
    <w:rsid w:val="009E03CA"/>
    <w:rsid w:val="00AA4886"/>
    <w:rsid w:val="00AB6F56"/>
    <w:rsid w:val="00B0744A"/>
    <w:rsid w:val="00B3355B"/>
    <w:rsid w:val="00B5096E"/>
    <w:rsid w:val="00B51184"/>
    <w:rsid w:val="00B51473"/>
    <w:rsid w:val="00B56A08"/>
    <w:rsid w:val="00B80AF1"/>
    <w:rsid w:val="00BE2E5A"/>
    <w:rsid w:val="00C74418"/>
    <w:rsid w:val="00C825B7"/>
    <w:rsid w:val="00C84801"/>
    <w:rsid w:val="00CB6421"/>
    <w:rsid w:val="00CF6727"/>
    <w:rsid w:val="00D56FA8"/>
    <w:rsid w:val="00D65F00"/>
    <w:rsid w:val="00D86C6D"/>
    <w:rsid w:val="00DA1A20"/>
    <w:rsid w:val="00E17736"/>
    <w:rsid w:val="00E24BA5"/>
    <w:rsid w:val="00E31CA2"/>
    <w:rsid w:val="00E51297"/>
    <w:rsid w:val="00E67908"/>
    <w:rsid w:val="00EE7BEC"/>
    <w:rsid w:val="00F359D2"/>
    <w:rsid w:val="00F55600"/>
    <w:rsid w:val="00F77659"/>
    <w:rsid w:val="00FA2896"/>
    <w:rsid w:val="00FC16F6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FFD"/>
    <w:pPr>
      <w:spacing w:line="280" w:lineRule="exact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Fixtexte">
    <w:name w:val="Fixtexte"/>
    <w:basedOn w:val="Standard"/>
    <w:pPr>
      <w:spacing w:line="360" w:lineRule="auto"/>
    </w:pPr>
    <w:rPr>
      <w:snapToGrid w:val="0"/>
      <w:color w:val="000000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4964F9"/>
    <w:rPr>
      <w:rFonts w:ascii="Arial" w:hAnsi="Arial"/>
      <w:lang w:val="de-DE" w:eastAsia="de-DE"/>
    </w:rPr>
  </w:style>
  <w:style w:type="paragraph" w:customStyle="1" w:styleId="1-Zeilig">
    <w:name w:val="1-Zeilig"/>
    <w:basedOn w:val="Standard"/>
    <w:pPr>
      <w:spacing w:line="240" w:lineRule="auto"/>
    </w:pPr>
  </w:style>
  <w:style w:type="paragraph" w:customStyle="1" w:styleId="Betreff">
    <w:name w:val="Betreff"/>
    <w:basedOn w:val="Standard"/>
    <w:next w:val="Standard"/>
    <w:pPr>
      <w:jc w:val="left"/>
    </w:pPr>
    <w:rPr>
      <w:sz w:val="24"/>
    </w:rPr>
  </w:style>
  <w:style w:type="paragraph" w:customStyle="1" w:styleId="Linksbndig">
    <w:name w:val="Linksbündig"/>
    <w:basedOn w:val="Standard"/>
    <w:pPr>
      <w:jc w:val="left"/>
    </w:pPr>
    <w:rPr>
      <w:noProof/>
    </w:rPr>
  </w:style>
  <w:style w:type="paragraph" w:styleId="Sprechblasentext">
    <w:name w:val="Balloon Text"/>
    <w:basedOn w:val="Standard"/>
    <w:link w:val="SprechblasentextZchn"/>
    <w:rsid w:val="00496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64F9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B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FFD"/>
    <w:pPr>
      <w:spacing w:line="280" w:lineRule="exact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Fixtexte">
    <w:name w:val="Fixtexte"/>
    <w:basedOn w:val="Standard"/>
    <w:pPr>
      <w:spacing w:line="360" w:lineRule="auto"/>
    </w:pPr>
    <w:rPr>
      <w:snapToGrid w:val="0"/>
      <w:color w:val="000000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4964F9"/>
    <w:rPr>
      <w:rFonts w:ascii="Arial" w:hAnsi="Arial"/>
      <w:lang w:val="de-DE" w:eastAsia="de-DE"/>
    </w:rPr>
  </w:style>
  <w:style w:type="paragraph" w:customStyle="1" w:styleId="1-Zeilig">
    <w:name w:val="1-Zeilig"/>
    <w:basedOn w:val="Standard"/>
    <w:pPr>
      <w:spacing w:line="240" w:lineRule="auto"/>
    </w:pPr>
  </w:style>
  <w:style w:type="paragraph" w:customStyle="1" w:styleId="Betreff">
    <w:name w:val="Betreff"/>
    <w:basedOn w:val="Standard"/>
    <w:next w:val="Standard"/>
    <w:pPr>
      <w:jc w:val="left"/>
    </w:pPr>
    <w:rPr>
      <w:sz w:val="24"/>
    </w:rPr>
  </w:style>
  <w:style w:type="paragraph" w:customStyle="1" w:styleId="Linksbndig">
    <w:name w:val="Linksbündig"/>
    <w:basedOn w:val="Standard"/>
    <w:pPr>
      <w:jc w:val="left"/>
    </w:pPr>
    <w:rPr>
      <w:noProof/>
    </w:rPr>
  </w:style>
  <w:style w:type="paragraph" w:styleId="Sprechblasentext">
    <w:name w:val="Balloon Text"/>
    <w:basedOn w:val="Standard"/>
    <w:link w:val="SprechblasentextZchn"/>
    <w:rsid w:val="00496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64F9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B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\Briefe\AK%20Brief%20mit%20BAK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2D48-847F-4A5A-B619-E380B56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Brief mit BAK-Logo.dotx</Template>
  <TotalTime>0</TotalTime>
  <Pages>3</Pages>
  <Words>728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Begutachtung der Bundesarbeitskammer</vt:lpstr>
    </vt:vector>
  </TitlesOfParts>
  <Company>AK-Wien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Begutachtung der Bundesarbeitskammer</dc:title>
  <dc:creator>ERNST-STERNJAK Brigitte</dc:creator>
  <cp:lastModifiedBy>Grubac, Danijela</cp:lastModifiedBy>
  <cp:revision>2</cp:revision>
  <cp:lastPrinted>2016-10-20T12:29:00Z</cp:lastPrinted>
  <dcterms:created xsi:type="dcterms:W3CDTF">2021-02-17T10:10:00Z</dcterms:created>
  <dcterms:modified xsi:type="dcterms:W3CDTF">2021-02-17T10:10:00Z</dcterms:modified>
</cp:coreProperties>
</file>